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EB" w:rsidRDefault="00085AEB">
      <w:pPr>
        <w:jc w:val="center"/>
        <w:rPr>
          <w:sz w:val="28"/>
        </w:rPr>
      </w:pPr>
    </w:p>
    <w:tbl>
      <w:tblPr>
        <w:tblW w:w="10206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4"/>
        <w:gridCol w:w="4992"/>
      </w:tblGrid>
      <w:tr w:rsidR="00085AEB">
        <w:trPr>
          <w:cantSplit/>
        </w:trPr>
        <w:tc>
          <w:tcPr>
            <w:tcW w:w="1020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85AEB" w:rsidRDefault="00085AEB">
            <w:pPr>
              <w:jc w:val="center"/>
            </w:pPr>
          </w:p>
        </w:tc>
      </w:tr>
      <w:tr w:rsidR="00085AEB">
        <w:trPr>
          <w:cantSplit/>
        </w:trPr>
        <w:tc>
          <w:tcPr>
            <w:tcW w:w="1020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80405" w:rsidRDefault="00080405">
            <w:pPr>
              <w:rPr>
                <w:b/>
                <w:sz w:val="28"/>
                <w:szCs w:val="28"/>
              </w:rPr>
            </w:pPr>
          </w:p>
          <w:p w:rsidR="00085AEB" w:rsidRDefault="00085AEB">
            <w:pPr>
              <w:jc w:val="center"/>
              <w:rPr>
                <w:b/>
                <w:sz w:val="28"/>
                <w:szCs w:val="28"/>
              </w:rPr>
            </w:pPr>
          </w:p>
          <w:p w:rsidR="00085AEB" w:rsidRDefault="00085AEB">
            <w:pPr>
              <w:jc w:val="center"/>
              <w:rPr>
                <w:b/>
                <w:sz w:val="28"/>
                <w:szCs w:val="28"/>
              </w:rPr>
            </w:pPr>
          </w:p>
          <w:p w:rsidR="00085AEB" w:rsidRDefault="00FE7E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</w:p>
          <w:p w:rsidR="00085AEB" w:rsidRDefault="00FE7E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БУТУРЛИНСКОГО МУНИЦИПАЛЬНОГО ОКРУГА</w:t>
            </w:r>
          </w:p>
          <w:p w:rsidR="00085AEB" w:rsidRDefault="00FE7E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  <w:p w:rsidR="00085AEB" w:rsidRDefault="00085AEB">
            <w:pPr>
              <w:jc w:val="center"/>
              <w:rPr>
                <w:b/>
                <w:sz w:val="28"/>
                <w:szCs w:val="28"/>
              </w:rPr>
            </w:pPr>
          </w:p>
          <w:p w:rsidR="00085AEB" w:rsidRDefault="00FE7EC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О С Т А Н О В Л Е Н И Е</w:t>
            </w:r>
          </w:p>
          <w:p w:rsidR="00085AEB" w:rsidRDefault="00085AEB">
            <w:pPr>
              <w:jc w:val="both"/>
              <w:rPr>
                <w:b/>
                <w:sz w:val="28"/>
              </w:rPr>
            </w:pPr>
          </w:p>
        </w:tc>
      </w:tr>
      <w:tr w:rsidR="00085AEB">
        <w:trPr>
          <w:cantSplit/>
          <w:trHeight w:val="425"/>
        </w:trPr>
        <w:tc>
          <w:tcPr>
            <w:tcW w:w="521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85AEB" w:rsidRDefault="00080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17.08.2026</w:t>
            </w:r>
            <w:r w:rsidR="00FE7E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2" w:type="dxa"/>
          </w:tcPr>
          <w:p w:rsidR="00085AEB" w:rsidRPr="00080405" w:rsidRDefault="00080405">
            <w:pPr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978</w:t>
            </w:r>
          </w:p>
          <w:p w:rsidR="00085AEB" w:rsidRDefault="00FE7EC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</w:tr>
    </w:tbl>
    <w:p w:rsidR="00085AEB" w:rsidRDefault="00085AEB">
      <w:pPr>
        <w:jc w:val="center"/>
        <w:rPr>
          <w:b/>
          <w:bCs/>
          <w:sz w:val="28"/>
          <w:szCs w:val="28"/>
        </w:rPr>
      </w:pPr>
    </w:p>
    <w:p w:rsidR="00085AEB" w:rsidRDefault="00FE7E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Программы по повышению уровня</w:t>
      </w:r>
    </w:p>
    <w:p w:rsidR="00085AEB" w:rsidRDefault="00FE7EC6">
      <w:pPr>
        <w:jc w:val="center"/>
        <w:rPr>
          <w:b/>
          <w:bCs/>
          <w:szCs w:val="24"/>
        </w:rPr>
      </w:pPr>
      <w:r>
        <w:rPr>
          <w:b/>
          <w:bCs/>
          <w:sz w:val="28"/>
          <w:szCs w:val="28"/>
        </w:rPr>
        <w:t>собираемости платы за коммунальные услуги</w:t>
      </w:r>
    </w:p>
    <w:p w:rsidR="00085AEB" w:rsidRDefault="00FE7EC6">
      <w:pPr>
        <w:jc w:val="center"/>
        <w:rPr>
          <w:b/>
          <w:bCs/>
          <w:szCs w:val="24"/>
        </w:rPr>
      </w:pPr>
      <w:r>
        <w:rPr>
          <w:b/>
          <w:bCs/>
          <w:sz w:val="28"/>
          <w:szCs w:val="28"/>
        </w:rPr>
        <w:t xml:space="preserve">на территории Бутурлинского муниципального округа </w:t>
      </w:r>
    </w:p>
    <w:p w:rsidR="00085AEB" w:rsidRDefault="00FE7EC6">
      <w:pPr>
        <w:jc w:val="center"/>
        <w:rPr>
          <w:b/>
          <w:bCs/>
          <w:szCs w:val="24"/>
        </w:rPr>
      </w:pPr>
      <w:r>
        <w:rPr>
          <w:b/>
          <w:bCs/>
          <w:sz w:val="28"/>
          <w:szCs w:val="28"/>
        </w:rPr>
        <w:t>Нижегородской области</w:t>
      </w:r>
    </w:p>
    <w:p w:rsidR="00085AEB" w:rsidRDefault="00085AEB">
      <w:pPr>
        <w:spacing w:line="360" w:lineRule="auto"/>
        <w:ind w:firstLine="567"/>
        <w:jc w:val="both"/>
        <w:rPr>
          <w:sz w:val="28"/>
          <w:szCs w:val="28"/>
        </w:rPr>
      </w:pPr>
    </w:p>
    <w:p w:rsidR="00085AEB" w:rsidRDefault="00FE7EC6">
      <w:pPr>
        <w:spacing w:line="360" w:lineRule="auto"/>
        <w:ind w:firstLine="567"/>
        <w:jc w:val="both"/>
        <w:rPr>
          <w:szCs w:val="24"/>
        </w:rPr>
      </w:pPr>
      <w:r>
        <w:rPr>
          <w:sz w:val="28"/>
          <w:szCs w:val="28"/>
        </w:rPr>
        <w:t>В соответствии с пунктом 2 раздела 2 Протокола заседания президиума (штаба) Правительственной комиссии по региональному развитию в Российской Федерации от 21 мая 2026 г. № 72пр, с це</w:t>
      </w:r>
      <w:r>
        <w:rPr>
          <w:sz w:val="28"/>
          <w:szCs w:val="28"/>
        </w:rPr>
        <w:t xml:space="preserve">лью повышения уровня собираемости платы за коммунальные услуги на территории Бутурлинского муниципального округа Нижегородской области, администрация Бутурлинского муниципального округа Нижегородской области </w:t>
      </w:r>
      <w:r>
        <w:rPr>
          <w:b/>
          <w:bCs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085AEB" w:rsidRDefault="00FE7EC6">
      <w:pPr>
        <w:spacing w:line="360" w:lineRule="auto"/>
        <w:ind w:firstLine="567"/>
        <w:jc w:val="both"/>
        <w:rPr>
          <w:szCs w:val="24"/>
        </w:rPr>
      </w:pPr>
      <w:r>
        <w:rPr>
          <w:sz w:val="28"/>
          <w:szCs w:val="28"/>
        </w:rPr>
        <w:t>1. Утвердить прилагаему</w:t>
      </w:r>
      <w:r>
        <w:rPr>
          <w:sz w:val="28"/>
          <w:szCs w:val="28"/>
        </w:rPr>
        <w:t>ю Программу по повышению уровня собираемости платы за коммунальные услуги на территории Бутурлинского муниципального округа Нижегородской области (далее – Программа).</w:t>
      </w:r>
    </w:p>
    <w:p w:rsidR="00085AEB" w:rsidRDefault="00FE7EC6">
      <w:pPr>
        <w:tabs>
          <w:tab w:val="left" w:pos="206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ЖКХ и строительства администрации Бутурлинского муниципального округа Нижег</w:t>
      </w:r>
      <w:r>
        <w:rPr>
          <w:sz w:val="28"/>
          <w:szCs w:val="28"/>
        </w:rPr>
        <w:t>ородской области довести настоящее постановление до исполнителей Программы.</w:t>
      </w:r>
    </w:p>
    <w:p w:rsidR="00085AEB" w:rsidRDefault="00FE7EC6">
      <w:pPr>
        <w:tabs>
          <w:tab w:val="left" w:pos="206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</w:t>
      </w:r>
      <w:r>
        <w:rPr>
          <w:sz w:val="28"/>
          <w:szCs w:val="28"/>
        </w:rPr>
        <w:t>чить опубликование (обнародо</w:t>
      </w:r>
      <w:r>
        <w:rPr>
          <w:sz w:val="28"/>
          <w:szCs w:val="28"/>
        </w:rPr>
        <w:t xml:space="preserve">вание) настоящего постановления в порядке, предусмотренном Уставом для опубликования (обнародования) муниципальных правовых актов,  размещение на официальном сайте администрации Бутурлинского муниципального округа Нижегородской </w:t>
      </w:r>
      <w:r>
        <w:rPr>
          <w:sz w:val="28"/>
          <w:szCs w:val="28"/>
        </w:rPr>
        <w:lastRenderedPageBreak/>
        <w:t>области в информационно теле</w:t>
      </w:r>
      <w:r>
        <w:rPr>
          <w:sz w:val="28"/>
          <w:szCs w:val="28"/>
        </w:rPr>
        <w:t xml:space="preserve">коммуникационной сети «Интернет», в сетевом издании «Бутурлинская жизнь  </w:t>
      </w:r>
      <w:r>
        <w:rPr>
          <w:sz w:val="28"/>
          <w:szCs w:val="28"/>
          <w:lang w:val="en-US"/>
        </w:rPr>
        <w:t>online</w:t>
      </w:r>
      <w:r>
        <w:rPr>
          <w:sz w:val="28"/>
          <w:szCs w:val="28"/>
        </w:rPr>
        <w:t xml:space="preserve">». </w:t>
      </w:r>
    </w:p>
    <w:p w:rsidR="00085AEB" w:rsidRDefault="00FE7EC6">
      <w:pPr>
        <w:widowControl w:val="0"/>
        <w:spacing w:line="360" w:lineRule="auto"/>
        <w:ind w:firstLine="567"/>
        <w:jc w:val="both"/>
        <w:rPr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опубликования (обнародования).</w:t>
      </w:r>
    </w:p>
    <w:p w:rsidR="00085AEB" w:rsidRDefault="00FE7EC6">
      <w:pPr>
        <w:pStyle w:val="aff0"/>
        <w:spacing w:line="360" w:lineRule="auto"/>
        <w:ind w:firstLine="567"/>
        <w:jc w:val="both"/>
        <w:rPr>
          <w:bCs/>
        </w:rPr>
      </w:pPr>
      <w:r>
        <w:rPr>
          <w:bCs/>
          <w:sz w:val="28"/>
          <w:szCs w:val="28"/>
        </w:rPr>
        <w:t>5.Контроль за исполнением настоящего постановления оставляю за собой.</w:t>
      </w:r>
    </w:p>
    <w:p w:rsidR="00085AEB" w:rsidRDefault="00085AEB">
      <w:pPr>
        <w:spacing w:line="360" w:lineRule="auto"/>
        <w:jc w:val="both"/>
        <w:rPr>
          <w:szCs w:val="24"/>
        </w:rPr>
      </w:pPr>
    </w:p>
    <w:p w:rsidR="00085AEB" w:rsidRDefault="00085AEB">
      <w:pPr>
        <w:spacing w:line="360" w:lineRule="auto"/>
        <w:jc w:val="both"/>
        <w:rPr>
          <w:szCs w:val="24"/>
        </w:rPr>
      </w:pPr>
    </w:p>
    <w:p w:rsidR="00085AEB" w:rsidRDefault="00085AEB">
      <w:pPr>
        <w:spacing w:line="360" w:lineRule="auto"/>
        <w:jc w:val="both"/>
        <w:rPr>
          <w:szCs w:val="24"/>
        </w:rPr>
      </w:pPr>
    </w:p>
    <w:p w:rsidR="00085AEB" w:rsidRDefault="00FE7EC6">
      <w:pPr>
        <w:spacing w:line="360" w:lineRule="auto"/>
        <w:jc w:val="both"/>
        <w:rPr>
          <w:szCs w:val="24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местного самоуправления                                                                 М.Ф.Петрова</w:t>
      </w:r>
    </w:p>
    <w:p w:rsidR="00085AEB" w:rsidRDefault="00085AEB">
      <w:pPr>
        <w:spacing w:line="360" w:lineRule="auto"/>
        <w:jc w:val="both"/>
        <w:rPr>
          <w:szCs w:val="24"/>
        </w:rPr>
      </w:pPr>
    </w:p>
    <w:p w:rsidR="00085AEB" w:rsidRDefault="00085AEB">
      <w:pPr>
        <w:jc w:val="both"/>
        <w:rPr>
          <w:szCs w:val="24"/>
        </w:rPr>
      </w:pPr>
    </w:p>
    <w:p w:rsidR="00085AEB" w:rsidRDefault="00085AEB">
      <w:pPr>
        <w:jc w:val="both"/>
        <w:rPr>
          <w:szCs w:val="24"/>
        </w:rPr>
      </w:pPr>
    </w:p>
    <w:p w:rsidR="00085AEB" w:rsidRDefault="00085AEB">
      <w:pPr>
        <w:pStyle w:val="aff0"/>
        <w:jc w:val="right"/>
        <w:sectPr w:rsidR="00085AE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085AEB" w:rsidRDefault="00FE7EC6">
      <w:pPr>
        <w:pStyle w:val="aff0"/>
        <w:jc w:val="right"/>
      </w:pPr>
      <w:r>
        <w:rPr>
          <w:sz w:val="28"/>
          <w:szCs w:val="28"/>
        </w:rPr>
        <w:lastRenderedPageBreak/>
        <w:t>ПРИЛОЖЕНИЕ</w:t>
      </w:r>
    </w:p>
    <w:p w:rsidR="00085AEB" w:rsidRDefault="00FE7EC6">
      <w:pPr>
        <w:pStyle w:val="aff0"/>
        <w:jc w:val="right"/>
      </w:pPr>
      <w:r>
        <w:rPr>
          <w:sz w:val="28"/>
          <w:szCs w:val="28"/>
        </w:rPr>
        <w:t>к постановлению администрации</w:t>
      </w:r>
    </w:p>
    <w:p w:rsidR="00085AEB" w:rsidRDefault="00FE7EC6">
      <w:pPr>
        <w:pStyle w:val="aff0"/>
        <w:jc w:val="right"/>
      </w:pPr>
      <w:r>
        <w:rPr>
          <w:sz w:val="28"/>
          <w:szCs w:val="28"/>
        </w:rPr>
        <w:t xml:space="preserve">Бутурлинского муниципального округа </w:t>
      </w:r>
    </w:p>
    <w:p w:rsidR="00085AEB" w:rsidRDefault="00FE7EC6">
      <w:pPr>
        <w:pStyle w:val="aff0"/>
        <w:jc w:val="right"/>
      </w:pPr>
      <w:r>
        <w:rPr>
          <w:sz w:val="28"/>
          <w:szCs w:val="28"/>
        </w:rPr>
        <w:t>Нижегородской области</w:t>
      </w:r>
    </w:p>
    <w:p w:rsidR="00085AEB" w:rsidRPr="006B63C6" w:rsidRDefault="006B63C6">
      <w:pPr>
        <w:pStyle w:val="aff0"/>
        <w:jc w:val="right"/>
        <w:rPr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17.08.2026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978</w:t>
      </w:r>
    </w:p>
    <w:p w:rsidR="00085AEB" w:rsidRDefault="00085AEB">
      <w:pPr>
        <w:jc w:val="center"/>
        <w:rPr>
          <w:b/>
          <w:bCs/>
          <w:sz w:val="28"/>
          <w:szCs w:val="28"/>
        </w:rPr>
      </w:pPr>
    </w:p>
    <w:p w:rsidR="00085AEB" w:rsidRDefault="00FE7E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по повышению уровня собираемости платы за коммунальные услуги</w:t>
      </w:r>
    </w:p>
    <w:p w:rsidR="00085AEB" w:rsidRDefault="00FE7EC6">
      <w:pPr>
        <w:jc w:val="center"/>
        <w:rPr>
          <w:b/>
          <w:bCs/>
          <w:szCs w:val="24"/>
        </w:rPr>
      </w:pPr>
      <w:r>
        <w:rPr>
          <w:b/>
          <w:bCs/>
          <w:sz w:val="28"/>
          <w:szCs w:val="28"/>
        </w:rPr>
        <w:t>на территории Бутурлинского муниципального округа Нижегородской области</w:t>
      </w:r>
    </w:p>
    <w:p w:rsidR="00085AEB" w:rsidRDefault="00085AEB">
      <w:pPr>
        <w:jc w:val="center"/>
        <w:rPr>
          <w:b/>
          <w:bCs/>
          <w:szCs w:val="24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872"/>
        <w:gridCol w:w="5964"/>
        <w:gridCol w:w="1976"/>
        <w:gridCol w:w="3793"/>
      </w:tblGrid>
      <w:tr w:rsidR="00085AEB">
        <w:tc>
          <w:tcPr>
            <w:tcW w:w="555" w:type="dxa"/>
          </w:tcPr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</w:p>
        </w:tc>
        <w:tc>
          <w:tcPr>
            <w:tcW w:w="2872" w:type="dxa"/>
          </w:tcPr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Задачи программы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Мероприятия программы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Периодичность</w:t>
            </w:r>
          </w:p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3793" w:type="dxa"/>
          </w:tcPr>
          <w:p w:rsidR="00085AEB" w:rsidRDefault="00FE7EC6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Ответственные</w:t>
            </w:r>
          </w:p>
        </w:tc>
      </w:tr>
      <w:tr w:rsidR="00085AEB">
        <w:tc>
          <w:tcPr>
            <w:tcW w:w="555" w:type="dxa"/>
          </w:tcPr>
          <w:p w:rsidR="00085AEB" w:rsidRDefault="00FE7EC6">
            <w:pPr>
              <w:jc w:val="both"/>
            </w:pPr>
            <w:r>
              <w:rPr>
                <w:szCs w:val="24"/>
              </w:rPr>
              <w:t>1</w:t>
            </w:r>
          </w:p>
        </w:tc>
        <w:tc>
          <w:tcPr>
            <w:tcW w:w="2872" w:type="dxa"/>
          </w:tcPr>
          <w:p w:rsidR="00085AEB" w:rsidRDefault="00FE7EC6">
            <w:pPr>
              <w:jc w:val="both"/>
            </w:pPr>
            <w:r>
              <w:rPr>
                <w:szCs w:val="24"/>
              </w:rPr>
              <w:t>2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</w:pPr>
            <w:r>
              <w:rPr>
                <w:szCs w:val="24"/>
              </w:rPr>
              <w:t>3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</w:pPr>
            <w:r>
              <w:rPr>
                <w:szCs w:val="24"/>
              </w:rPr>
              <w:t>4</w:t>
            </w:r>
          </w:p>
        </w:tc>
        <w:tc>
          <w:tcPr>
            <w:tcW w:w="3793" w:type="dxa"/>
          </w:tcPr>
          <w:p w:rsidR="00085AEB" w:rsidRDefault="00FE7EC6">
            <w:pPr>
              <w:jc w:val="both"/>
            </w:pPr>
            <w:r>
              <w:rPr>
                <w:szCs w:val="24"/>
              </w:rPr>
              <w:t>5</w:t>
            </w:r>
          </w:p>
        </w:tc>
      </w:tr>
      <w:tr w:rsidR="00085AEB">
        <w:trPr>
          <w:trHeight w:val="572"/>
        </w:trPr>
        <w:tc>
          <w:tcPr>
            <w:tcW w:w="555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72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Внедрение современных цифровых сервисов для упрощения процесса оплаты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Внедрение онлайн платформ (интеграция с ГИС ЖКХ и мобильных приложений)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 w:val="restart"/>
          </w:tcPr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МУП «Бутурлинский водоканал»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ООО «Бутурлинский водоканал»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ООО «Бутурлинское ЖКХ»</w:t>
            </w:r>
          </w:p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возможности оплаты ЖКУ через личные кабинеты «Госуслуги Дом» и банковские приложения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85AEB">
        <w:tc>
          <w:tcPr>
            <w:tcW w:w="555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72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системы сквозного мониторинга и сегментация задолженности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Мониторинг задолженности и уровня собираемости в разрезе поставщиков ресу</w:t>
            </w:r>
            <w:r>
              <w:rPr>
                <w:szCs w:val="24"/>
              </w:rPr>
              <w:t>рсов и категории потребителей</w:t>
            </w:r>
          </w:p>
        </w:tc>
        <w:tc>
          <w:tcPr>
            <w:tcW w:w="1976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 w:val="restart"/>
          </w:tcPr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МУП «Бутурлинский водоканал»</w:t>
            </w:r>
          </w:p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ООО «Бутурлинский водоканал»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ООО «Бутурлинское ЖКХ»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Управление ЖКХ и строительства администрации Бутурлинского муниципального округа Нижегородской области</w:t>
            </w:r>
          </w:p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Аналитика и отчетность</w:t>
            </w:r>
          </w:p>
        </w:tc>
        <w:tc>
          <w:tcPr>
            <w:tcW w:w="1976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085AEB">
        <w:tc>
          <w:tcPr>
            <w:tcW w:w="555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72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Досудебное урегулирование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Досудебное урегулирование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3793" w:type="dxa"/>
            <w:vMerge w:val="restart"/>
          </w:tcPr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МУП «Бутурлинский водоканал»</w:t>
            </w:r>
          </w:p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ООО «Бутурлинский водоканал»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ООО «Бутурлинское ЖКХ»</w:t>
            </w:r>
          </w:p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Размещение информации в СМИ и социальных сетях о последствиях неплатежей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ежеквартально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Раннее реагирование: напоминание, выявление причин неоплаты на ранней стадии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Адресная реструктуризация (от 1 до 3 месяцев), заключение соглашений о рассрочке платежей для граждан, подтвердивших ухудшение финансового положен</w:t>
            </w:r>
            <w:r>
              <w:rPr>
                <w:szCs w:val="24"/>
              </w:rPr>
              <w:t>ия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Претензионная работа (от 2 месяцев) – направление претензионных писем, правоотношения по </w:t>
            </w:r>
            <w:r>
              <w:rPr>
                <w:szCs w:val="24"/>
              </w:rPr>
              <w:lastRenderedPageBreak/>
              <w:t xml:space="preserve">направлению претензий-предупреждений с расчетом пени в соответствии со ст. 155 Жилищного кодекса Российской Федерации, введение </w:t>
            </w:r>
            <w:r>
              <w:rPr>
                <w:szCs w:val="24"/>
              </w:rPr>
              <w:t>ограничений в соответствии с постановлением Правительства Российской Федерации от 6 мая 2011 г. №354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Направление заявлений на выдачу судебных приказов, исковых заявлений в суд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Получение исполнительных листов и </w:t>
            </w:r>
            <w:r>
              <w:rPr>
                <w:szCs w:val="24"/>
              </w:rPr>
              <w:t>судебных приказов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Направление судебных приказов на исполнение судебным приставам-исполнителям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 мере поступления судебных приказов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Мониторинг задолженности физических лиц за услуги жилищно-коммунального хозяйства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ежемесячно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72" w:type="dxa"/>
            <w:vMerge w:val="restart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Социальная поддержка и информационная политика</w:t>
            </w: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консультаций граждан по вопросам оформления соглашений о погашении задолженности, включая заключение договоров о поэтапном урегулировании имеющейся задолженности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 мере поступления обращений</w:t>
            </w:r>
          </w:p>
        </w:tc>
        <w:tc>
          <w:tcPr>
            <w:tcW w:w="3793" w:type="dxa"/>
            <w:vMerge w:val="restart"/>
          </w:tcPr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МУП «Бутурлинский водоканал»</w:t>
            </w:r>
          </w:p>
          <w:p w:rsidR="00085AEB" w:rsidRDefault="00FE7EC6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ООО «Бутурлинский водоканал»</w:t>
            </w:r>
          </w:p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ООО «Бутурлинское ЖКХ»</w:t>
            </w:r>
          </w:p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Разъяснительная работа и стимулирующие акции: информирование жильцов о важности своевременной оплаты для надежной работы коммуникаций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ежеквартально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  <w:tr w:rsidR="00085AEB">
        <w:tc>
          <w:tcPr>
            <w:tcW w:w="555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72" w:type="dxa"/>
            <w:vMerge/>
          </w:tcPr>
          <w:p w:rsidR="00085AEB" w:rsidRDefault="00085AE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964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программ лояльности («В новый год без долгов» со списанием пени при условии полного погашения основного долга)</w:t>
            </w:r>
          </w:p>
        </w:tc>
        <w:tc>
          <w:tcPr>
            <w:tcW w:w="1976" w:type="dxa"/>
          </w:tcPr>
          <w:p w:rsidR="00085AEB" w:rsidRDefault="00FE7EC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ежегодно</w:t>
            </w:r>
          </w:p>
        </w:tc>
        <w:tc>
          <w:tcPr>
            <w:tcW w:w="3793" w:type="dxa"/>
            <w:vMerge/>
          </w:tcPr>
          <w:p w:rsidR="00085AEB" w:rsidRDefault="00085AEB"/>
        </w:tc>
      </w:tr>
    </w:tbl>
    <w:p w:rsidR="00085AEB" w:rsidRDefault="00085AEB">
      <w:pPr>
        <w:pStyle w:val="af7"/>
        <w:ind w:left="0"/>
        <w:rPr>
          <w:szCs w:val="28"/>
        </w:rPr>
      </w:pPr>
    </w:p>
    <w:sectPr w:rsidR="00085AE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EC6" w:rsidRDefault="00FE7EC6">
      <w:r>
        <w:separator/>
      </w:r>
    </w:p>
  </w:endnote>
  <w:endnote w:type="continuationSeparator" w:id="0">
    <w:p w:rsidR="00FE7EC6" w:rsidRDefault="00FE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EC6" w:rsidRDefault="00FE7EC6">
      <w:r>
        <w:separator/>
      </w:r>
    </w:p>
  </w:footnote>
  <w:footnote w:type="continuationSeparator" w:id="0">
    <w:p w:rsidR="00FE7EC6" w:rsidRDefault="00FE7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EB"/>
    <w:rsid w:val="00080405"/>
    <w:rsid w:val="00085AEB"/>
    <w:rsid w:val="006B63C6"/>
    <w:rsid w:val="00FE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90D46-EE1D-43E5-9E43-877295A7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link w:val="af8"/>
    <w:pPr>
      <w:ind w:left="705"/>
      <w:jc w:val="both"/>
    </w:pPr>
    <w:rPr>
      <w:sz w:val="28"/>
    </w:r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Body Text"/>
    <w:basedOn w:val="a"/>
    <w:link w:val="afb"/>
    <w:pPr>
      <w:spacing w:after="120"/>
    </w:pPr>
  </w:style>
  <w:style w:type="character" w:customStyle="1" w:styleId="afb">
    <w:name w:val="Основной текст Знак"/>
    <w:basedOn w:val="a0"/>
    <w:link w:val="afa"/>
    <w:rPr>
      <w:sz w:val="24"/>
      <w:lang w:eastAsia="ar-SA"/>
    </w:rPr>
  </w:style>
  <w:style w:type="character" w:styleId="afc">
    <w:name w:val="Hyperlink"/>
    <w:basedOn w:val="a0"/>
    <w:rPr>
      <w:color w:val="0000FF"/>
      <w:u w:val="single"/>
    </w:rPr>
  </w:style>
  <w:style w:type="paragraph" w:styleId="afd">
    <w:name w:val="header"/>
    <w:basedOn w:val="a"/>
    <w:link w:val="afe"/>
    <w:pPr>
      <w:tabs>
        <w:tab w:val="center" w:pos="4536"/>
        <w:tab w:val="right" w:pos="9072"/>
      </w:tabs>
    </w:pPr>
  </w:style>
  <w:style w:type="character" w:customStyle="1" w:styleId="afe">
    <w:name w:val="Верхний колонтитул Знак"/>
    <w:basedOn w:val="a0"/>
    <w:link w:val="afd"/>
    <w:rPr>
      <w:sz w:val="24"/>
      <w:lang w:eastAsia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af8">
    <w:name w:val="Основной текст с отступом Знак"/>
    <w:basedOn w:val="a0"/>
    <w:link w:val="af7"/>
    <w:rPr>
      <w:sz w:val="28"/>
      <w:lang w:eastAsia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0">
    <w:name w:val="Нормальный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4098</Characters>
  <Application>Microsoft Office Word</Application>
  <DocSecurity>0</DocSecurity>
  <Lines>34</Lines>
  <Paragraphs>9</Paragraphs>
  <ScaleCrop>false</ScaleCrop>
  <Company>raifo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9</cp:revision>
  <dcterms:created xsi:type="dcterms:W3CDTF">2025-09-19T07:43:00Z</dcterms:created>
  <dcterms:modified xsi:type="dcterms:W3CDTF">2026-08-17T13:05:00Z</dcterms:modified>
</cp:coreProperties>
</file>